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南京雨花国资投资管理有限公司招聘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557C6A"/>
    <w:rsid w:val="114A12A0"/>
    <w:rsid w:val="11F73E0D"/>
    <w:rsid w:val="1A9247E2"/>
    <w:rsid w:val="1DE275BF"/>
    <w:rsid w:val="25666F19"/>
    <w:rsid w:val="2D3A283D"/>
    <w:rsid w:val="31180287"/>
    <w:rsid w:val="33E2461E"/>
    <w:rsid w:val="35514AFF"/>
    <w:rsid w:val="35981F98"/>
    <w:rsid w:val="395439DB"/>
    <w:rsid w:val="3BBD33CC"/>
    <w:rsid w:val="420B54BE"/>
    <w:rsid w:val="4C7F1A7D"/>
    <w:rsid w:val="56163B08"/>
    <w:rsid w:val="59DA619F"/>
    <w:rsid w:val="5DAF1A71"/>
    <w:rsid w:val="5F7C226B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2021-07-01T06:39:38Z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CFC5A2FA853E4137AD460137621F30E3</vt:lpwstr>
  </property>
</Properties>
</file>