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4445" w:type="dxa"/>
        <w:tblInd w:w="93" w:type="dxa"/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0"/>
        <w:gridCol w:w="1500"/>
        <w:gridCol w:w="945"/>
        <w:gridCol w:w="1815"/>
        <w:gridCol w:w="1050"/>
        <w:gridCol w:w="3750"/>
        <w:gridCol w:w="1545"/>
        <w:gridCol w:w="1305"/>
        <w:gridCol w:w="1605"/>
      </w:tblGrid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附件1：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1444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bdr w:val="none" w:color="auto" w:sz="0" w:space="0"/>
                <w:lang w:val="en-US" w:eastAsia="zh-CN" w:bidi="ar"/>
              </w:rPr>
              <w:t>2021年南京雨花国资投资管理有限公司招聘编外人员岗位信息表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招聘单位</w:t>
            </w:r>
          </w:p>
        </w:tc>
        <w:tc>
          <w:tcPr>
            <w:tcW w:w="15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岗位名称</w:t>
            </w:r>
          </w:p>
        </w:tc>
        <w:tc>
          <w:tcPr>
            <w:tcW w:w="9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招聘人数</w:t>
            </w:r>
          </w:p>
        </w:tc>
        <w:tc>
          <w:tcPr>
            <w:tcW w:w="18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年龄</w:t>
            </w:r>
          </w:p>
        </w:tc>
        <w:tc>
          <w:tcPr>
            <w:tcW w:w="4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招聘条件</w:t>
            </w:r>
          </w:p>
        </w:tc>
        <w:tc>
          <w:tcPr>
            <w:tcW w:w="15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用人方式</w:t>
            </w:r>
          </w:p>
        </w:tc>
        <w:tc>
          <w:tcPr>
            <w:tcW w:w="13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考试形式</w:t>
            </w:r>
          </w:p>
        </w:tc>
        <w:tc>
          <w:tcPr>
            <w:tcW w:w="16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咨询电话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学历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其他</w:t>
            </w: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南京雨花国资投资管理有限公司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信息技术岗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1人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28周岁以下（1993年5月1日后出生）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大专以上文化程度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1.计算机应用专业；            2.熟练掌握ORACLE数据库、SQL语言编写；                        3.有连续5年以上区县财政财务一体化电子信息系统建设及维护经验，具备基础性财政和会计专业知识；    4.工作强度大，需适应工作出差和加班。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编外人员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面试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025-52174909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436C2F"/>
    <w:rsid w:val="71436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2021-05-17T07:23:00Z</dcterms:created>
  <dc:creator>晚～晚</dc:creator>
  <cp:lastModifiedBy>晚～晚</cp:lastModifiedBy>
  <dcterms:modified xsi:type="dcterms:W3CDTF">2021-05-17T07:24:14Z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73929998153F49BEAADCDA6EE606B234</vt:lpwstr>
  </property>
</Properties>
</file>